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249599" w14:textId="77777777" w:rsidR="00BE5DE0" w:rsidRDefault="00BE5DE0" w:rsidP="009923C0"/>
    <w:p w14:paraId="304DE92D" w14:textId="77777777" w:rsidR="00D31E55" w:rsidRPr="00D31E55" w:rsidRDefault="00D31E55" w:rsidP="00D31E55">
      <w:pPr>
        <w:spacing w:after="60"/>
        <w:rPr>
          <w:rFonts w:ascii="Arial Narrow" w:hAnsi="Arial Narrow"/>
          <w:b/>
          <w:bCs/>
          <w:sz w:val="22"/>
          <w:szCs w:val="22"/>
        </w:rPr>
      </w:pPr>
      <w:r w:rsidRPr="00D31E55">
        <w:rPr>
          <w:rFonts w:ascii="Arial Narrow" w:hAnsi="Arial Narrow"/>
          <w:b/>
          <w:bCs/>
          <w:sz w:val="22"/>
          <w:szCs w:val="22"/>
        </w:rPr>
        <w:t>Disposición adicional undécima. Obligación de informar acerca del impuesto sobre sociedades o impuestos de naturaleza idéntica o análoga por parte de determinadas empresas y sucursales.</w:t>
      </w:r>
    </w:p>
    <w:p w14:paraId="37F740A2" w14:textId="77777777" w:rsidR="00D31E55" w:rsidRPr="00D31E55" w:rsidRDefault="00D31E55" w:rsidP="00D31E55">
      <w:pPr>
        <w:spacing w:after="60"/>
        <w:rPr>
          <w:rFonts w:ascii="Arial Narrow" w:hAnsi="Arial Narrow"/>
          <w:b/>
          <w:bCs/>
          <w:sz w:val="22"/>
          <w:szCs w:val="22"/>
        </w:rPr>
      </w:pPr>
      <w:r w:rsidRPr="00D31E55">
        <w:rPr>
          <w:rFonts w:ascii="Arial Narrow" w:hAnsi="Arial Narrow"/>
          <w:b/>
          <w:bCs/>
          <w:sz w:val="22"/>
          <w:szCs w:val="22"/>
        </w:rPr>
        <w:t>Primero. Empresas y sucursales obligadas a informar.</w:t>
      </w:r>
    </w:p>
    <w:p w14:paraId="2377662A"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1. La sociedad dominante última de un grupo sujeta a derecho español que formule cuentas anuales consolidadas y cuyo importe neto de la cifra anual de negocios consolidada en la fecha de cierre del ejercicio haya superado, en cada uno de los dos últimos ejercicios consecutivos, un total de 750.000.000 de euros deberá elaborar, publicar, depositar y hacer accesible un informe acerca del impuesto sobre sociedades o impuestos de naturaleza idéntica o análoga relativo al último de esos dos ejercicios consecutivos.</w:t>
      </w:r>
    </w:p>
    <w:p w14:paraId="36970E88" w14:textId="323CDBBB"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A estos efectos, se entenderá por sociedad dominante última la empresa que elabore los estados financieros consolidados del grupo mayor de empresas conforme a lo dispuesto en el artículo 42 del Código de Comercio.</w:t>
      </w:r>
    </w:p>
    <w:p w14:paraId="5C1556DD"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La sociedad dominante última cesará en la obligación de elaborar un informe consolidado relativo al impuesto sobre sociedades o impuestos de naturaleza idéntica o análoga cuando el importe neto de la cifra anual de negocios consolidada en la fecha de cierre de balance sea inferior a 750.000.000 de euros en cada uno de los dos últimos ejercicios consecutivos según sus estados financieros consolidados.</w:t>
      </w:r>
    </w:p>
    <w:p w14:paraId="39B245DC"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La sociedad que no forme parte de un grupo y cuyo importe neto de la cifra anual de negocios en la fecha de cierre del ejercicio haya superado en cada uno de los dos últimos ejercicios consecutivos un total de 750.000.000 de euros, según sus estados financieros anuales, deberá elaborar, publicar, depositar y hacer accesible un informe acerca del impuesto sobre sociedades o impuestos de naturaleza idéntica o análoga relativo al último de esos dos ejercicios consecutivos.</w:t>
      </w:r>
    </w:p>
    <w:p w14:paraId="072EE024"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Esta sociedad dejará de estar sujeta a la obligación de información referida en el párrafo anterior cuando el importe neto de la cifra anual de negocios en la fecha de cierre del ejercicio sea inferior a 750.000.000 de euros en cada uno de los dos últimos ejercicios consecutivos según sus estados financieros anuales.</w:t>
      </w:r>
    </w:p>
    <w:p w14:paraId="2C59890A"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2. Lo dispuesto en el apartado anterior no será aplicable a las sociedades que no formen parte de un grupo ni a las sociedades dominantes últimas y sus dependientes cuando dichas sociedades, incluidas sus sucursales, estén establecidas o tengan su domicilio social o actividad empresarial permanente en el territorio de un solo Estado miembro y en ningún otro territorio fiscal.</w:t>
      </w:r>
    </w:p>
    <w:p w14:paraId="01EB14CF"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A estos efectos, se entenderá por territorio fiscal un Estado o un país o territorio no estatal que goce de autonomía fiscal por lo que respecta al impuesto sobre sociedades.</w:t>
      </w:r>
    </w:p>
    <w:p w14:paraId="328A0A50" w14:textId="4B52D91B"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3. Lo dispuesto en el apartado 1 tampoco resultará aplicable a las empresas que no formen parte de un grupo ni a las sociedades dominantes últimas en caso de que ellas mismas o sus dependientes publiquen un informe de acuerdo con el artículo 87 de la Ley 10/2014, de 26 de junio, de ordenación, supervisión y solvencia de entidades de crédito, en el que se incluya información acerca de todas sus actividades y, en el caso de las sociedades dominantes últimas, de todas las actividades de la totalidad de las empresas dependientes incluidas en los estados financieros consolidados.</w:t>
      </w:r>
    </w:p>
    <w:p w14:paraId="74BA72FB"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4. Las empresas filiales sujetas a derecho español que estén controladas por una sociedad dominante última no sujeta al derecho de un Estado miembro cuyo importe neto de la cifra anual de negocios consolidada en la fecha de cierre del ejercicio haya superado en cada uno de los dos últimos ejercicios consecutivos un total de 750.000.000 de euros, según sus estados financieros consolidados, estarán obligadas a publicar y hacer accesible un informe acerca del impuesto sobre sociedades o impuestos de naturaleza idéntica o análoga a nivel consolidado de dicha sociedad dominante última relativo al más reciente de los dos ejercicios consecutivos, siempre y cuando dichas empresas filiales no tengan la consideración de entidad pequeña de acuerdo con los umbrales establecidos en el artículo 3 de esta ley.</w:t>
      </w:r>
    </w:p>
    <w:p w14:paraId="2FDA08D0"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Cuando dicha información o informe no sean accesibles, la empresa filial solicitará a su sociedad dominante última que le proporcione toda la información exigida a fin de que pueda cumplir con las obligaciones establecidas en el apartado 1. Si la sociedad dominante última no facilitase toda la información exigida, la empresa filial elaborará, publicará, depositará y hará accesible un informe relativo al impuesto sobre sociedades que contenga toda la información que obre en su poder, que haya obtenido o adquirido, y una declaración en la que se indique que su sociedad dominante última no ha puesto a disposición la información necesaria.</w:t>
      </w:r>
    </w:p>
    <w:p w14:paraId="5A90D054"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Las empresas filiales mencionadas dejarán de estar sujetas a las obligaciones de información del presente apartado cuando el importe neto de la cifra anual de negocios consolidada de la sociedad dominante última en la fecha de cierre del ejercicio sea inferior a 750.000.000 de euros en cada uno de los dos últimos ejercicios consecutivos según sus estados financieros consolidados.</w:t>
      </w:r>
    </w:p>
    <w:p w14:paraId="00950C46"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5. Las sucursales constituidas en territorio español por empresas que no estén sujetas al Derecho de un Estado miembro estarán obligadas a publicar y hacer accesible un informe acerca del impuesto sobre sociedades o impuestos de naturaleza idéntica o análoga consolidado de la sociedad dominante última o de la sociedad que no forme parte de un grupo relativo al más reciente de los dos últimos ejercicios consecutivos, cuando cumplan los criterios siguientes:</w:t>
      </w:r>
    </w:p>
    <w:p w14:paraId="7104802A"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 xml:space="preserve">a) Que la empresa que constituyó la sucursal sea o bien una empresa filial de un grupo cuya sociedad dominante última no esté sujeta al derecho de un Estado miembro y cuyo importe neto de la cifra anual de negocios consolidada en la fecha de </w:t>
      </w:r>
      <w:r w:rsidRPr="00D31E55">
        <w:rPr>
          <w:rFonts w:ascii="Arial Narrow" w:hAnsi="Arial Narrow"/>
          <w:sz w:val="22"/>
          <w:szCs w:val="22"/>
        </w:rPr>
        <w:lastRenderedPageBreak/>
        <w:t>cierre de ejercicio haya superado en cada uno de los dos últimos ejercicios consecutivos un total de 750.000.000 de euros, según sus estados financieros consolidados, o bien una sociedad que no pertenezca a un grupo cuyo importe neto de la cifra anual de negocios consolidada en la fecha de cierre del ejercicio haya superado en cada uno de los dos últimos ejercicios consecutivos un total de 750.000.000 de euros según sus estados financieros.</w:t>
      </w:r>
    </w:p>
    <w:p w14:paraId="54B5C7F0"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b) Que la sociedad dominante última a que se refiere la letra a) no cuente con una empresa filial de las mencionadas en el apartado 4.</w:t>
      </w:r>
    </w:p>
    <w:p w14:paraId="5CC43128"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c) Que no tengan la consideración de entidad pequeña de acuerdo con los umbrales establecidos en artículo 3 de esta ley. Cuando dicha información o informe no esté disponible, la persona o personas designadas para cumplir las formalidades de publicidad a que se refiere el apartado tercero solicitarán a la sociedad dominante última o a la sociedad que no forme parte de un grupo que les facilite toda la información necesaria para permitirles cumplir sus obligaciones.</w:t>
      </w:r>
    </w:p>
    <w:p w14:paraId="6D9EA5BE"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En caso de que no se facilite toda la información exigida, la sucursal elaborará, publicará, depositará y hará accesible un informe relativo al impuesto sobre sociedades o impuestos de naturaleza idéntica o análoga que contenga toda la información que obre en su poder, que haya obtenido o adquirido, y una declaración en la que indique que la sociedad dominante última o la sociedad que no forme parte de un grupo no ha puesto a disposición la información necesaria.</w:t>
      </w:r>
    </w:p>
    <w:p w14:paraId="7A495E89"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6. Lo dispuesto en los apartados 4 y 5, respecto de las filiales y las sucursales respectivamente, no resultará de aplicación en caso de que el informe relativo al impuesto sobre sociedades o impuestos de naturaleza idéntica o análoga ya haya sido elaborado por una sociedad dominante última o sociedad que no forme parte de un grupo que no esté sujeta al Derecho de un Estado miembro, siempre que dicho informe tenga un contenido compatible con el previsto en la presente disposición de modo que sea compatible con el contenido del informe regulado en el apartado segundo y cumpla además los criterios siguientes:</w:t>
      </w:r>
    </w:p>
    <w:p w14:paraId="6BBC98FD"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a) Se haga accesible al público, de forma gratuita y en un formato electrónico de lectura automática:</w:t>
      </w:r>
    </w:p>
    <w:p w14:paraId="3D461F6A"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i) En el sitio web de dicha sociedad dominante última o en el de la sociedad que no forme parte de un grupo.</w:t>
      </w:r>
    </w:p>
    <w:p w14:paraId="463008F0"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ii) En al menos una de las lenguas oficiales de la Unión.</w:t>
      </w:r>
    </w:p>
    <w:p w14:paraId="3BD3BA73"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iii) En un plazo máximo de seis meses a partir de la fecha de cierre del ejercicio sobre el que se elabora el informe, e</w:t>
      </w:r>
    </w:p>
    <w:p w14:paraId="44A4B0C2"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b) Indique el nombre y el domicilio social de una empresa filial única, o el nombre y la dirección de una sucursal única que esté sujeta al Derecho de un Estado miembro, que publique el informe con arreglo a lo dispuesto en el apartado tercero.1 de esta disposición adicional.</w:t>
      </w:r>
    </w:p>
    <w:p w14:paraId="7D1DDA4A"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7. Las empresas filiales y las sucursales no sujetas a lo dispuesto en los apartados 4 y 5 deberán publicar y hacer accesible un informe relativo al impuesto sobre sociedades o impuestos de naturaleza idéntica o análoga en caso de que dichas empresas filiales y sucursales tengan como único fin eludir las obligaciones de información establecidas en la presente disposición.</w:t>
      </w:r>
    </w:p>
    <w:p w14:paraId="7D4C4496" w14:textId="77777777" w:rsidR="00D31E55" w:rsidRPr="00D31E55" w:rsidRDefault="00D31E55" w:rsidP="00D31E55">
      <w:pPr>
        <w:spacing w:after="60"/>
        <w:rPr>
          <w:rFonts w:ascii="Arial Narrow" w:hAnsi="Arial Narrow"/>
          <w:b/>
          <w:bCs/>
          <w:sz w:val="22"/>
          <w:szCs w:val="22"/>
        </w:rPr>
      </w:pPr>
      <w:r w:rsidRPr="00D31E55">
        <w:rPr>
          <w:rFonts w:ascii="Arial Narrow" w:hAnsi="Arial Narrow"/>
          <w:b/>
          <w:bCs/>
          <w:sz w:val="22"/>
          <w:szCs w:val="22"/>
        </w:rPr>
        <w:t>Segundo. Contenido del informe relativo al impuesto sobre sociedades o impuestos de naturaleza idéntica o análoga.</w:t>
      </w:r>
    </w:p>
    <w:p w14:paraId="71F02A7F"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1. El informe relativo al impuesto sobre sociedades o impuestos de naturaleza idéntica o análoga incluirá información acerca de todas las actividades de la sociedad que no formen parte de un grupo o de la sociedad dominante última, incluidas las actividades de todas las empresas filiales que figuren en los estados financieros consolidados correspondientes al ejercicio de que se trate.</w:t>
      </w:r>
    </w:p>
    <w:p w14:paraId="259B3BA8"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2. La información a que se refiere el apartado anterior consistirá en:</w:t>
      </w:r>
    </w:p>
    <w:p w14:paraId="4F4C56B3"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a) El nombre de la sociedad dominante última o de la sociedad que no forme parte de un grupo, el ejercicio de que se trate, la moneda empleada en la presentación del informe y, en su caso, una lista de todas las empresas filiales que figuren en los estados financieros consolidados de la sociedad dominante última, correspondiente al ejercicio de que se trate, que estén establecidas en la Unión Europea o en territorios fiscales incluidos en los anexos I y II de las Conclusiones del Consejo sobre la lista revisada de la UE de países y territorios no cooperadores a efectos fiscales.</w:t>
      </w:r>
    </w:p>
    <w:p w14:paraId="3EA6F37C"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b) Una breve descripción de la naturaleza de sus actividades.</w:t>
      </w:r>
    </w:p>
    <w:p w14:paraId="25D7A973"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c) El número de empleados sobre una base equivalente a tiempo completo.</w:t>
      </w:r>
    </w:p>
    <w:p w14:paraId="5D8C6C9A"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d) Sus ingresos calculados como:</w:t>
      </w:r>
    </w:p>
    <w:p w14:paraId="6F2F4940" w14:textId="28573AAB"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i) La suma del importe neto de la cifra anual de negocios, otros ingresos derivados de la explotación, ingresos procedentes del rendimiento de participaciones sociales excluidos los dividendos recibidos de las empresas vinculadas, ingresos procedentes de otras inversiones y préstamos que formen parte de los activos no corrientes, otros intereses por cobrar y otros ingresos de naturaleza similar referidos en la cuenta de pérdidas y ganancias del Plan General de Contabilidad, aprobado por Real Decreto 1514/2007, de 16 de noviembre, y en sus disposiciones complementarias.</w:t>
      </w:r>
    </w:p>
    <w:p w14:paraId="041A1F61"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ii) Los ingresos según se determinen en el marco de información financiera con arreglo al cual se preparen los estados financieros, excluidas las correcciones de valor y dividendos procedentes de las empresas vinculadas.</w:t>
      </w:r>
    </w:p>
    <w:p w14:paraId="79327AEA"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A efectos de lo dispuesto en esta letra, los ingresos incluirán las transacciones con partes vinculadas.</w:t>
      </w:r>
    </w:p>
    <w:p w14:paraId="20A2696E"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e) El importe de los beneficios o de las pérdidas antes de aplicar el impuesto sobre sociedades.</w:t>
      </w:r>
    </w:p>
    <w:p w14:paraId="11B375B5"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lastRenderedPageBreak/>
        <w:t>f) El importe del impuesto sobre sociedades o impuestos de naturaleza idéntica o análoga devengados durante el ejercicio de que se trate, calculados como los gastos fiscales corrientes reconocidos sobre los beneficios o pérdidas imponibles del ejercicio por las empresas y sucursales en el territorio fiscal de que se trate.</w:t>
      </w:r>
    </w:p>
    <w:p w14:paraId="2CB764F1"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A efectos de lo dispuesto en esta letra, el gasto fiscal corriente reflejará únicamente las actividades de la empresa durante el ejercicio de que se trate y no incluirá los impuestos diferidos ni las provisiones para obligaciones fiscales inciertas.</w:t>
      </w:r>
    </w:p>
    <w:p w14:paraId="12A83045"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g) El importe del impuesto sobre sociedades o impuestos de naturaleza idéntica o análoga abonados en efectivo, calculado como el importe de los impuestos abonados durante el ejercicio de que se trate por las empresas y sucursales en el territorio fiscal de que se trate.</w:t>
      </w:r>
    </w:p>
    <w:p w14:paraId="59507BD1"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A efectos de lo dispuesto en esta letra los impuestos abonados incluirán las retenciones abonadas por otras empresas con respecto a los pagos realizados a empresas y sucursales dentro de un grupo.</w:t>
      </w:r>
    </w:p>
    <w:p w14:paraId="7FAAD5F7"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h) El importe de las reservas al final del ejercicio de que se trate.</w:t>
      </w:r>
    </w:p>
    <w:p w14:paraId="57DF6B27" w14:textId="56A479F3"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3. La información enumerada en el apartado anterior podrá comunicarse sobre la base de las instrucciones para la comunicación de información a que se refiere el artículo 14 del Reglamento del Impuesto sobre Sociedades, aprobado por el Real Decreto 634/2015, de 10 de julio, y su normativa de desarrollo y que regula la Orden HFP/1978/2016, de 28 de diciembre, por la que se aprueba el modelo 231 de Declaración de información país por país.</w:t>
      </w:r>
    </w:p>
    <w:p w14:paraId="311E8BEA"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4. El informe presentará la información a que se refieren los apartados 2 y 3 anteriores por separado para cada Estado miembro. Cuando un Estado miembro comprenda varios territorios fiscales, la información se agregará por Estado miembro.</w:t>
      </w:r>
    </w:p>
    <w:p w14:paraId="7BEA5430"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La información de los apartados 2 y 3 también se presentará por separado para cada territorio fiscal que, a 1 de marzo del ejercicio para el que se haya de elaborar el informe, esté incluido en el anexo I de las Conclusiones del Consejo sobre la lista revisada de la UE de países y territorios no cooperadores a efectos fiscales, y para cada territorio fiscal que, a 1 de marzo del ejercicio para el que se haya de elaborar el informe y a 1 de marzo del ejercicio anterior, haya figurado en el anexo II de las Conclusiones del Consejo sobre la lista revisada de la UE de países y territorios no cooperadores a efectos fiscales.</w:t>
      </w:r>
    </w:p>
    <w:p w14:paraId="67ACC0E1"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La información de los apartados 2 y 3 se presentará de manera agregada para otros territorios fiscales.</w:t>
      </w:r>
    </w:p>
    <w:p w14:paraId="697052EC"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La información se atribuirá al territorio fiscal correspondiente sobre la base del establecimiento, la existencia de un domicilio social o una actividad empresarial permanente que, dadas las actividades del grupo o de la empresa independiente, pueda estar sujeto a tributación del impuesto sobre sociedades en dicho territorio fiscal.</w:t>
      </w:r>
    </w:p>
    <w:p w14:paraId="152A2A1D"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En caso de que las actividades de varias empresas filiales puedan estar sujetas a tributación del impuesto sobre sociedades en un único territorio fiscal, la información atribuida a dicho territorio fiscal representará la suma de la información relativa a tales actividades de cada empresa filial y sus sucursales en dicho territorio fiscal.</w:t>
      </w:r>
    </w:p>
    <w:p w14:paraId="0D9E501D"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La información sobre una actividad concreta no se atribuirá de manera simultánea a más de un territorio fiscal.</w:t>
      </w:r>
    </w:p>
    <w:p w14:paraId="0D741725"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5. La información a que se refieren los apartados 2 y 3 se presentará utilizando una plantilla común y en formatos electrónicos que sean de lectura automática, los cuales serán establecidos por la Comisión Europea mediante actos de ejecución.</w:t>
      </w:r>
    </w:p>
    <w:p w14:paraId="39A8992B"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6. Ciertos elementos de información que debieran hacerse públicos de conformidad con los apartados 2 o 3 podrán omitirse temporalmente del informe cuando su divulgación pueda ser gravemente perjudicial para la posición comercial de las empresas a las que se refiere el informe. Cualquier omisión deberá indicarse claramente en el informe e ir acompañada de una justificación debidamente motivada.</w:t>
      </w:r>
    </w:p>
    <w:p w14:paraId="1408DF57"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Toda información omitida con arreglo al párrafo anterior deberá hacerse pública en un informe posterior relativo al impuesto sobre sociedades, a más tardar cinco años después de su omisión inicial.</w:t>
      </w:r>
    </w:p>
    <w:p w14:paraId="336CC27B"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No podrá ser objeto de omisión la información relativa a los territorios fiscales incluidos en los anexos I y II de las Conclusiones del Consejo sobre la lista revisada de la UE de países y territorios no cooperados a efectos fiscales, a los que se refiere el apartado 4.</w:t>
      </w:r>
    </w:p>
    <w:p w14:paraId="6E6DB329"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7. El informe relativo al impuesto sobre sociedades o impuestos de naturaleza idéntica o análoga podrá incluir, cuando resulte aplicable a nivel de grupos, una exposición general que explique toda discrepancia significativa entre los importes comunicados con arreglo a las letras f) y g) del apartado 2, teniendo en cuenta, en su caso, las cantidades correspondientes relativas a ejercicios anteriores.</w:t>
      </w:r>
    </w:p>
    <w:p w14:paraId="017F1ADE"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8. La moneda empleada en el informe relativo al impuesto sobre sociedades o impuestos de naturaleza idéntica o análoga será aquella en la que se presenten los estados financieros consolidados de la sociedad dominante última o los estados financieros anuales de la sociedad que no forme parte de un grupo.</w:t>
      </w:r>
    </w:p>
    <w:p w14:paraId="04366A94"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No obstante, en el caso de no accesibilidad de la información o del informe de las empresas filiales a que se refiere el apartado 4 del apartado primero, la moneda empleada en el informe relativo al impuesto sobre sociedades será la moneda en la que la empresa filial publique sus estados financieros anuales.</w:t>
      </w:r>
    </w:p>
    <w:p w14:paraId="36A35E86"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9. El informe relativo al impuesto sobre sociedades o impuestos de naturaleza idéntica o análoga deberá precisar si ha sido preparado de conformidad con los apartados 2 o 3.</w:t>
      </w:r>
    </w:p>
    <w:p w14:paraId="346E06D7" w14:textId="77777777" w:rsidR="00D31E55" w:rsidRPr="00D31E55" w:rsidRDefault="00D31E55" w:rsidP="00D31E55">
      <w:pPr>
        <w:spacing w:after="60"/>
        <w:rPr>
          <w:rFonts w:ascii="Arial Narrow" w:hAnsi="Arial Narrow"/>
          <w:b/>
          <w:bCs/>
          <w:sz w:val="22"/>
          <w:szCs w:val="22"/>
        </w:rPr>
      </w:pPr>
      <w:r w:rsidRPr="00D31E55">
        <w:rPr>
          <w:rFonts w:ascii="Arial Narrow" w:hAnsi="Arial Narrow"/>
          <w:b/>
          <w:bCs/>
          <w:sz w:val="22"/>
          <w:szCs w:val="22"/>
        </w:rPr>
        <w:t>Tercero. Publicación y accesibilidad.</w:t>
      </w:r>
    </w:p>
    <w:p w14:paraId="7C093D9E"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lastRenderedPageBreak/>
        <w:t>1. El informe relativo al impuesto sobre sociedades o impuestos de naturaleza idéntica o análoga y, en su caso, la declaración a la que se refiere el apartado 4 del apartado primero serán objeto de aprobación y publicación en un plazo de seis meses a partir de la fecha de cierre del ejercicio al que se refieran. Asimismo, se depositarán en el Registro Mercantil conjuntamente con los documentos que integren las cuentas anuales.</w:t>
      </w:r>
    </w:p>
    <w:p w14:paraId="098DDC99"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2. El informe relativo al impuesto sobre sociedades o impuestos de naturaleza idéntica o análoga y la declaración publicados por las empresas de conformidad con el apartado anterior deberán hacerse accesibles al público de forma gratuita en al menos una de las lenguas oficiales de la Unión Europea, en un plazo máximo de seis meses a partir de la fecha de cierre de balance del ejercicio sobre el que se elabore el informe, en el sitio web de:</w:t>
      </w:r>
    </w:p>
    <w:p w14:paraId="22549959"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a) La empresa, cuando sea aplicable el apartado primero.1.</w:t>
      </w:r>
    </w:p>
    <w:p w14:paraId="228BB4EA"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b) La empresa filial cuando sea aplicable el apartado primero.4.</w:t>
      </w:r>
    </w:p>
    <w:p w14:paraId="64A836B8"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c) La sucursal o la empresa que haya constituido la sucursal, o una empresa filial, cuando sea aplicable el apartado primero.5.</w:t>
      </w:r>
    </w:p>
    <w:p w14:paraId="24481626"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3. El informe relativo al impuesto de sociedades y, en su caso, la declaración mencionada en el apartado primero, permanecerán accesibles en el sitio web correspondiente durante al menos cinco años consecutivos.</w:t>
      </w:r>
    </w:p>
    <w:p w14:paraId="7C867975" w14:textId="77777777" w:rsidR="00D31E55" w:rsidRPr="00D31E55" w:rsidRDefault="00D31E55" w:rsidP="00D31E55">
      <w:pPr>
        <w:spacing w:after="60"/>
        <w:rPr>
          <w:rFonts w:ascii="Arial Narrow" w:hAnsi="Arial Narrow"/>
          <w:b/>
          <w:bCs/>
          <w:sz w:val="22"/>
          <w:szCs w:val="22"/>
        </w:rPr>
      </w:pPr>
      <w:r w:rsidRPr="00D31E55">
        <w:rPr>
          <w:rFonts w:ascii="Arial Narrow" w:hAnsi="Arial Narrow"/>
          <w:b/>
          <w:bCs/>
          <w:sz w:val="22"/>
          <w:szCs w:val="22"/>
        </w:rPr>
        <w:t>Cuarto. Responsabilidad de la elaboración, publicación, depósito y accesibilidad del informe relativo al impuesto sobre sociedades o impuestos de naturaleza idéntica o análoga.</w:t>
      </w:r>
    </w:p>
    <w:p w14:paraId="4DEE6C8C"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1. Los miembros de los órganos de administración de las sociedades dominantes últimas o la sociedad que no forme parte de un grupo a que se refiere el apartado primero.1 serán colectivamente responsables de garantizar que el informe relativo al impuesto sobre sociedades o impuestos de naturaleza idéntica o análoga se elabore, publique, deposite y haga accesible de conformidad con lo dispuesto en esta ley.</w:t>
      </w:r>
    </w:p>
    <w:p w14:paraId="4EC71831"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2. Los miembros de los órganos de administración de las empresas filiales a que se refiere el apartado primero.4 y las personas designadas para cumplir las formalidades de publicidad en relación con las sucursales a que se refiere el apartado primero.5 serán colectivamente responsables de garantizar, en la medida de su conocimiento y capacidad, que el informe relativo al impuesto sobre sociedades se elabore de modo que sea compatible o de conformidad, según corresponda, con los apartados primero y segundo, y se publique y se haga accesible de conformidad con el apartado tercero.</w:t>
      </w:r>
    </w:p>
    <w:p w14:paraId="46F7E7C4" w14:textId="77777777" w:rsidR="00D31E55" w:rsidRPr="00D31E55" w:rsidRDefault="00D31E55" w:rsidP="00D31E55">
      <w:pPr>
        <w:spacing w:after="60"/>
        <w:rPr>
          <w:rFonts w:ascii="Arial Narrow" w:hAnsi="Arial Narrow"/>
          <w:b/>
          <w:bCs/>
          <w:sz w:val="22"/>
          <w:szCs w:val="22"/>
        </w:rPr>
      </w:pPr>
      <w:r w:rsidRPr="00D31E55">
        <w:rPr>
          <w:rFonts w:ascii="Arial Narrow" w:hAnsi="Arial Narrow"/>
          <w:b/>
          <w:bCs/>
          <w:sz w:val="22"/>
          <w:szCs w:val="22"/>
        </w:rPr>
        <w:t>Quinto. Fecha de inicio de la presentación del informe relativo al impuesto sobre sociedades o impuestos de naturaleza idéntica o análoga.</w:t>
      </w:r>
    </w:p>
    <w:p w14:paraId="2F832D7C" w14:textId="77777777" w:rsidR="00D31E55" w:rsidRPr="00D31E55" w:rsidRDefault="00D31E55" w:rsidP="00D31E55">
      <w:pPr>
        <w:spacing w:after="60"/>
        <w:rPr>
          <w:rFonts w:ascii="Arial Narrow" w:hAnsi="Arial Narrow"/>
          <w:sz w:val="22"/>
          <w:szCs w:val="22"/>
        </w:rPr>
      </w:pPr>
      <w:r w:rsidRPr="00D31E55">
        <w:rPr>
          <w:rFonts w:ascii="Arial Narrow" w:hAnsi="Arial Narrow"/>
          <w:sz w:val="22"/>
          <w:szCs w:val="22"/>
        </w:rPr>
        <w:t>Las obligaciones introducidas por esta disposición adicional serán de aplicación para los ejercicios económicos que se inicien a partir del 22 de junio de 2024.</w:t>
      </w:r>
    </w:p>
    <w:p w14:paraId="5D8B7C3F" w14:textId="77777777" w:rsidR="00C6729A" w:rsidRDefault="00C6729A" w:rsidP="00F62C8E"/>
    <w:p w14:paraId="1DC2725D" w14:textId="77777777" w:rsidR="004C6E60" w:rsidRDefault="004C6E60" w:rsidP="004C6E60"/>
    <w:p w14:paraId="6BCB7B8B" w14:textId="77777777" w:rsidR="00663E1C" w:rsidRPr="00663E1C" w:rsidRDefault="00663E1C" w:rsidP="00663E1C"/>
    <w:p w14:paraId="72AED401" w14:textId="77777777" w:rsidR="00121EB3" w:rsidRPr="00D369DF" w:rsidRDefault="00121EB3" w:rsidP="00D369DF"/>
    <w:p w14:paraId="3B91DB39" w14:textId="77777777" w:rsidR="00A77404" w:rsidRPr="00A77404" w:rsidRDefault="00A77404" w:rsidP="00A77404"/>
    <w:p w14:paraId="25217B2E" w14:textId="77777777" w:rsidR="00A77404" w:rsidRDefault="00A77404" w:rsidP="00A77404"/>
    <w:p w14:paraId="6AE0D884" w14:textId="77777777" w:rsidR="00A77404" w:rsidRDefault="00A77404" w:rsidP="00A77404"/>
    <w:p w14:paraId="633A6C78" w14:textId="77777777" w:rsidR="00A77404" w:rsidRPr="00A77404" w:rsidRDefault="00A77404" w:rsidP="00A77404"/>
    <w:p w14:paraId="20D06B47" w14:textId="77777777" w:rsidR="006E6D27" w:rsidRPr="006E6D27" w:rsidRDefault="006E6D27" w:rsidP="006E6D27"/>
    <w:p w14:paraId="48150F9A" w14:textId="77777777" w:rsidR="00ED5680" w:rsidRPr="00ED5680" w:rsidRDefault="00ED5680" w:rsidP="00ED5680"/>
    <w:p w14:paraId="57E0EA21" w14:textId="77777777" w:rsidR="00A97612" w:rsidRPr="00A97612" w:rsidRDefault="00A97612" w:rsidP="00A97612"/>
    <w:p w14:paraId="6CD93E1B" w14:textId="77777777" w:rsidR="000118F5" w:rsidRPr="000118F5" w:rsidRDefault="000118F5" w:rsidP="000118F5"/>
    <w:p w14:paraId="4727AC53" w14:textId="77777777" w:rsidR="006D5DD3" w:rsidRDefault="006D5DD3" w:rsidP="00646416"/>
    <w:p w14:paraId="44A1EC8E" w14:textId="77777777" w:rsidR="00646416" w:rsidRDefault="00646416" w:rsidP="00646416"/>
    <w:p w14:paraId="0CD7E35F" w14:textId="77777777" w:rsidR="00646416" w:rsidRPr="00646416" w:rsidRDefault="00646416" w:rsidP="00646416"/>
    <w:p w14:paraId="334E9EB9" w14:textId="77777777" w:rsidR="00646416" w:rsidRPr="00646416" w:rsidRDefault="00646416" w:rsidP="00646416"/>
    <w:p w14:paraId="2969E0FB" w14:textId="77777777" w:rsidR="00646416" w:rsidRPr="00646416" w:rsidRDefault="00646416" w:rsidP="00646416">
      <w:pPr>
        <w:spacing w:after="240"/>
        <w:jc w:val="left"/>
        <w:outlineLvl w:val="0"/>
        <w:rPr>
          <w:rStyle w:val="Fuerte"/>
          <w:color w:val="1F2937"/>
          <w:bdr w:val="single" w:sz="2" w:space="0" w:color="E5E7EB" w:frame="1"/>
        </w:rPr>
      </w:pPr>
    </w:p>
    <w:p w14:paraId="5CD96C3D" w14:textId="77777777" w:rsidR="00646416" w:rsidRDefault="00646416" w:rsidP="00646416"/>
    <w:sectPr w:rsidR="00646416" w:rsidSect="009C7F72">
      <w:footerReference w:type="default" r:id="rId7"/>
      <w:pgSz w:w="11906" w:h="16838"/>
      <w:pgMar w:top="720" w:right="720"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C45136" w14:textId="77777777" w:rsidR="007A7296" w:rsidRDefault="007A7296" w:rsidP="00237BEF">
      <w:r>
        <w:separator/>
      </w:r>
    </w:p>
  </w:endnote>
  <w:endnote w:type="continuationSeparator" w:id="0">
    <w:p w14:paraId="1116E1A8" w14:textId="77777777" w:rsidR="007A7296" w:rsidRDefault="007A7296" w:rsidP="00237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18649460"/>
      <w:docPartObj>
        <w:docPartGallery w:val="Page Numbers (Bottom of Page)"/>
        <w:docPartUnique/>
      </w:docPartObj>
    </w:sdtPr>
    <w:sdtEndPr/>
    <w:sdtContent>
      <w:p w14:paraId="171F4A14" w14:textId="667BF21E" w:rsidR="00AD2C48" w:rsidRDefault="00AD2C48">
        <w:pPr>
          <w:pStyle w:val="Piedepgina"/>
          <w:jc w:val="right"/>
        </w:pPr>
        <w:r>
          <w:fldChar w:fldCharType="begin"/>
        </w:r>
        <w:r>
          <w:instrText>PAGE   \* MERGEFORMAT</w:instrText>
        </w:r>
        <w:r>
          <w:fldChar w:fldCharType="separate"/>
        </w:r>
        <w:r>
          <w:rPr>
            <w:lang w:val="es-ES"/>
          </w:rPr>
          <w:t>2</w:t>
        </w:r>
        <w:r>
          <w:fldChar w:fldCharType="end"/>
        </w:r>
      </w:p>
    </w:sdtContent>
  </w:sdt>
  <w:p w14:paraId="11B941A0" w14:textId="77777777" w:rsidR="00AD2C48" w:rsidRDefault="00AD2C4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1A2856" w14:textId="77777777" w:rsidR="007A7296" w:rsidRDefault="007A7296" w:rsidP="00237BEF">
      <w:r>
        <w:separator/>
      </w:r>
    </w:p>
  </w:footnote>
  <w:footnote w:type="continuationSeparator" w:id="0">
    <w:p w14:paraId="671C243C" w14:textId="77777777" w:rsidR="007A7296" w:rsidRDefault="007A7296" w:rsidP="00237B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5F2DB1"/>
    <w:multiLevelType w:val="multilevel"/>
    <w:tmpl w:val="3B5CA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B83FF8"/>
    <w:multiLevelType w:val="multilevel"/>
    <w:tmpl w:val="8BE2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8F0D18"/>
    <w:multiLevelType w:val="multilevel"/>
    <w:tmpl w:val="018CB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01D8F"/>
    <w:multiLevelType w:val="multilevel"/>
    <w:tmpl w:val="5900A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F24EA7"/>
    <w:multiLevelType w:val="multilevel"/>
    <w:tmpl w:val="2DD2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F20BBE"/>
    <w:multiLevelType w:val="multilevel"/>
    <w:tmpl w:val="C0225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9B4A82"/>
    <w:multiLevelType w:val="multilevel"/>
    <w:tmpl w:val="475C2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B01663"/>
    <w:multiLevelType w:val="multilevel"/>
    <w:tmpl w:val="30D60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6A1838"/>
    <w:multiLevelType w:val="multilevel"/>
    <w:tmpl w:val="BF3AC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A507CE"/>
    <w:multiLevelType w:val="multilevel"/>
    <w:tmpl w:val="0F708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170022"/>
    <w:multiLevelType w:val="multilevel"/>
    <w:tmpl w:val="B0369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290D76"/>
    <w:multiLevelType w:val="multilevel"/>
    <w:tmpl w:val="3412F31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5BDB35F2"/>
    <w:multiLevelType w:val="multilevel"/>
    <w:tmpl w:val="60484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7020F2"/>
    <w:multiLevelType w:val="multilevel"/>
    <w:tmpl w:val="383A847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474300457">
    <w:abstractNumId w:val="5"/>
  </w:num>
  <w:num w:numId="2" w16cid:durableId="1071193513">
    <w:abstractNumId w:val="10"/>
  </w:num>
  <w:num w:numId="3" w16cid:durableId="1287926728">
    <w:abstractNumId w:val="9"/>
  </w:num>
  <w:num w:numId="4" w16cid:durableId="1667392641">
    <w:abstractNumId w:val="8"/>
  </w:num>
  <w:num w:numId="5" w16cid:durableId="1496385542">
    <w:abstractNumId w:val="0"/>
  </w:num>
  <w:num w:numId="6" w16cid:durableId="547962278">
    <w:abstractNumId w:val="1"/>
  </w:num>
  <w:num w:numId="7" w16cid:durableId="1121724807">
    <w:abstractNumId w:val="12"/>
  </w:num>
  <w:num w:numId="8" w16cid:durableId="124856324">
    <w:abstractNumId w:val="7"/>
  </w:num>
  <w:num w:numId="9" w16cid:durableId="241109450">
    <w:abstractNumId w:val="3"/>
  </w:num>
  <w:num w:numId="10" w16cid:durableId="1850942556">
    <w:abstractNumId w:val="6"/>
  </w:num>
  <w:num w:numId="11" w16cid:durableId="670330816">
    <w:abstractNumId w:val="2"/>
  </w:num>
  <w:num w:numId="12" w16cid:durableId="1964118109">
    <w:abstractNumId w:val="4"/>
  </w:num>
  <w:num w:numId="13" w16cid:durableId="213125737">
    <w:abstractNumId w:val="13"/>
  </w:num>
  <w:num w:numId="14" w16cid:durableId="1104884114">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hideSpellingErrors/>
  <w:hideGrammaticalErrors/>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416"/>
    <w:rsid w:val="000118F5"/>
    <w:rsid w:val="00032860"/>
    <w:rsid w:val="00061D4C"/>
    <w:rsid w:val="00072654"/>
    <w:rsid w:val="00110ABD"/>
    <w:rsid w:val="00120097"/>
    <w:rsid w:val="00121EB3"/>
    <w:rsid w:val="00125906"/>
    <w:rsid w:val="00237BEF"/>
    <w:rsid w:val="002C632A"/>
    <w:rsid w:val="002E4C86"/>
    <w:rsid w:val="002E5842"/>
    <w:rsid w:val="002F1EB0"/>
    <w:rsid w:val="003A790C"/>
    <w:rsid w:val="003E2DDF"/>
    <w:rsid w:val="004C6E60"/>
    <w:rsid w:val="00511B0E"/>
    <w:rsid w:val="005715B6"/>
    <w:rsid w:val="00646416"/>
    <w:rsid w:val="00663E1C"/>
    <w:rsid w:val="006A42AC"/>
    <w:rsid w:val="006D5DD3"/>
    <w:rsid w:val="006E6D27"/>
    <w:rsid w:val="006F096D"/>
    <w:rsid w:val="006F17B8"/>
    <w:rsid w:val="006F4921"/>
    <w:rsid w:val="00710046"/>
    <w:rsid w:val="00710112"/>
    <w:rsid w:val="00734837"/>
    <w:rsid w:val="00790D23"/>
    <w:rsid w:val="007A7296"/>
    <w:rsid w:val="007C2525"/>
    <w:rsid w:val="007D1333"/>
    <w:rsid w:val="00824B04"/>
    <w:rsid w:val="009423FE"/>
    <w:rsid w:val="00954262"/>
    <w:rsid w:val="009923C0"/>
    <w:rsid w:val="009B7397"/>
    <w:rsid w:val="009C7F72"/>
    <w:rsid w:val="00A0110A"/>
    <w:rsid w:val="00A4121F"/>
    <w:rsid w:val="00A77404"/>
    <w:rsid w:val="00A97612"/>
    <w:rsid w:val="00AD2C48"/>
    <w:rsid w:val="00AE4E72"/>
    <w:rsid w:val="00B06064"/>
    <w:rsid w:val="00BC65F3"/>
    <w:rsid w:val="00BE5DE0"/>
    <w:rsid w:val="00C6729A"/>
    <w:rsid w:val="00D31E55"/>
    <w:rsid w:val="00D369DF"/>
    <w:rsid w:val="00D50D82"/>
    <w:rsid w:val="00D52F34"/>
    <w:rsid w:val="00EB5E4C"/>
    <w:rsid w:val="00ED5680"/>
    <w:rsid w:val="00F600AD"/>
    <w:rsid w:val="00F62C8E"/>
    <w:rsid w:val="00F6379C"/>
    <w:rsid w:val="00F965AA"/>
    <w:rsid w:val="00FC24F9"/>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59187"/>
  <w15:chartTrackingRefBased/>
  <w15:docId w15:val="{0BA42889-61EA-4F0E-AC3D-19B0520B4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Times New Roman"/>
        <w:kern w:val="2"/>
        <w:szCs w:val="24"/>
        <w:lang w:val="es-ES_tradnl"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654"/>
  </w:style>
  <w:style w:type="paragraph" w:styleId="Ttulo1">
    <w:name w:val="heading 1"/>
    <w:basedOn w:val="Normal"/>
    <w:next w:val="Normal"/>
    <w:link w:val="Ttulo1Car"/>
    <w:uiPriority w:val="9"/>
    <w:qFormat/>
    <w:rsid w:val="00072654"/>
    <w:pPr>
      <w:keepNext/>
      <w:keepLines/>
      <w:spacing w:before="360" w:after="80"/>
      <w:outlineLvl w:val="0"/>
    </w:pPr>
    <w:rPr>
      <w:rFonts w:ascii="Aptos Display" w:eastAsia="Times New Roman" w:hAnsi="Aptos Display"/>
      <w:color w:val="0F4761"/>
      <w:sz w:val="40"/>
      <w:szCs w:val="40"/>
    </w:rPr>
  </w:style>
  <w:style w:type="paragraph" w:styleId="Ttulo2">
    <w:name w:val="heading 2"/>
    <w:basedOn w:val="Normal"/>
    <w:next w:val="Normal"/>
    <w:link w:val="Ttulo2Car"/>
    <w:uiPriority w:val="9"/>
    <w:semiHidden/>
    <w:unhideWhenUsed/>
    <w:qFormat/>
    <w:rsid w:val="00072654"/>
    <w:pPr>
      <w:keepNext/>
      <w:keepLines/>
      <w:spacing w:before="160" w:after="80"/>
      <w:outlineLvl w:val="1"/>
    </w:pPr>
    <w:rPr>
      <w:rFonts w:ascii="Aptos Display" w:eastAsia="Times New Roman" w:hAnsi="Aptos Display"/>
      <w:color w:val="0F4761"/>
      <w:sz w:val="32"/>
      <w:szCs w:val="32"/>
    </w:rPr>
  </w:style>
  <w:style w:type="paragraph" w:styleId="Ttulo3">
    <w:name w:val="heading 3"/>
    <w:basedOn w:val="Normal"/>
    <w:next w:val="Normal"/>
    <w:link w:val="Ttulo3Car"/>
    <w:uiPriority w:val="9"/>
    <w:semiHidden/>
    <w:unhideWhenUsed/>
    <w:qFormat/>
    <w:rsid w:val="00072654"/>
    <w:pPr>
      <w:keepNext/>
      <w:keepLines/>
      <w:spacing w:before="160" w:after="80"/>
      <w:outlineLvl w:val="2"/>
    </w:pPr>
    <w:rPr>
      <w:rFonts w:eastAsia="Times New Roman"/>
      <w:color w:val="0F4761"/>
      <w:sz w:val="28"/>
      <w:szCs w:val="28"/>
    </w:rPr>
  </w:style>
  <w:style w:type="paragraph" w:styleId="Ttulo4">
    <w:name w:val="heading 4"/>
    <w:basedOn w:val="Normal"/>
    <w:next w:val="Normal"/>
    <w:link w:val="Ttulo4Car"/>
    <w:uiPriority w:val="9"/>
    <w:semiHidden/>
    <w:unhideWhenUsed/>
    <w:qFormat/>
    <w:rsid w:val="00072654"/>
    <w:pPr>
      <w:keepNext/>
      <w:keepLines/>
      <w:spacing w:before="80" w:after="40"/>
      <w:outlineLvl w:val="3"/>
    </w:pPr>
    <w:rPr>
      <w:rFonts w:eastAsia="Times New Roman"/>
      <w:i/>
      <w:iCs/>
      <w:color w:val="0F4761"/>
    </w:rPr>
  </w:style>
  <w:style w:type="paragraph" w:styleId="Ttulo5">
    <w:name w:val="heading 5"/>
    <w:basedOn w:val="Normal"/>
    <w:next w:val="Normal"/>
    <w:link w:val="Ttulo5Car"/>
    <w:uiPriority w:val="9"/>
    <w:semiHidden/>
    <w:unhideWhenUsed/>
    <w:qFormat/>
    <w:rsid w:val="00072654"/>
    <w:pPr>
      <w:keepNext/>
      <w:keepLines/>
      <w:spacing w:before="80" w:after="40"/>
      <w:outlineLvl w:val="4"/>
    </w:pPr>
    <w:rPr>
      <w:rFonts w:eastAsia="Times New Roman"/>
      <w:color w:val="0F4761"/>
    </w:rPr>
  </w:style>
  <w:style w:type="paragraph" w:styleId="Ttulo6">
    <w:name w:val="heading 6"/>
    <w:basedOn w:val="Normal"/>
    <w:next w:val="Normal"/>
    <w:link w:val="Ttulo6Car"/>
    <w:uiPriority w:val="9"/>
    <w:semiHidden/>
    <w:unhideWhenUsed/>
    <w:qFormat/>
    <w:rsid w:val="00072654"/>
    <w:pPr>
      <w:keepNext/>
      <w:keepLines/>
      <w:spacing w:before="40"/>
      <w:outlineLvl w:val="5"/>
    </w:pPr>
    <w:rPr>
      <w:rFonts w:eastAsia="Times New Roman"/>
      <w:i/>
      <w:iCs/>
      <w:color w:val="595959"/>
    </w:rPr>
  </w:style>
  <w:style w:type="paragraph" w:styleId="Ttulo7">
    <w:name w:val="heading 7"/>
    <w:basedOn w:val="Normal"/>
    <w:next w:val="Normal"/>
    <w:link w:val="Ttulo7Car"/>
    <w:uiPriority w:val="9"/>
    <w:semiHidden/>
    <w:unhideWhenUsed/>
    <w:qFormat/>
    <w:rsid w:val="00072654"/>
    <w:pPr>
      <w:keepNext/>
      <w:keepLines/>
      <w:spacing w:before="40"/>
      <w:outlineLvl w:val="6"/>
    </w:pPr>
    <w:rPr>
      <w:rFonts w:eastAsia="Times New Roman"/>
      <w:color w:val="595959"/>
    </w:rPr>
  </w:style>
  <w:style w:type="paragraph" w:styleId="Ttulo8">
    <w:name w:val="heading 8"/>
    <w:basedOn w:val="Normal"/>
    <w:next w:val="Normal"/>
    <w:link w:val="Ttulo8Car"/>
    <w:uiPriority w:val="9"/>
    <w:semiHidden/>
    <w:unhideWhenUsed/>
    <w:qFormat/>
    <w:rsid w:val="00072654"/>
    <w:pPr>
      <w:keepNext/>
      <w:keepLines/>
      <w:outlineLvl w:val="7"/>
    </w:pPr>
    <w:rPr>
      <w:rFonts w:eastAsia="Times New Roman"/>
      <w:i/>
      <w:iCs/>
      <w:color w:val="272727"/>
    </w:rPr>
  </w:style>
  <w:style w:type="paragraph" w:styleId="Ttulo9">
    <w:name w:val="heading 9"/>
    <w:basedOn w:val="Normal"/>
    <w:next w:val="Normal"/>
    <w:link w:val="Ttulo9Car"/>
    <w:uiPriority w:val="9"/>
    <w:semiHidden/>
    <w:unhideWhenUsed/>
    <w:qFormat/>
    <w:rsid w:val="00072654"/>
    <w:pPr>
      <w:keepNext/>
      <w:keepLines/>
      <w:outlineLvl w:val="8"/>
    </w:pPr>
    <w:rPr>
      <w:rFonts w:eastAsia="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072654"/>
    <w:rPr>
      <w:rFonts w:ascii="Aptos Display" w:eastAsia="Times New Roman" w:hAnsi="Aptos Display"/>
      <w:color w:val="0F4761"/>
      <w:kern w:val="2"/>
      <w:sz w:val="40"/>
      <w:szCs w:val="40"/>
    </w:rPr>
  </w:style>
  <w:style w:type="character" w:customStyle="1" w:styleId="Ttulo2Car">
    <w:name w:val="Título 2 Car"/>
    <w:link w:val="Ttulo2"/>
    <w:uiPriority w:val="9"/>
    <w:semiHidden/>
    <w:rsid w:val="00072654"/>
    <w:rPr>
      <w:rFonts w:ascii="Aptos Display" w:eastAsia="Times New Roman" w:hAnsi="Aptos Display"/>
      <w:color w:val="0F4761"/>
      <w:kern w:val="2"/>
      <w:sz w:val="32"/>
      <w:szCs w:val="32"/>
    </w:rPr>
  </w:style>
  <w:style w:type="character" w:customStyle="1" w:styleId="Ttulo3Car">
    <w:name w:val="Título 3 Car"/>
    <w:link w:val="Ttulo3"/>
    <w:uiPriority w:val="9"/>
    <w:semiHidden/>
    <w:rsid w:val="00072654"/>
    <w:rPr>
      <w:rFonts w:eastAsia="Times New Roman"/>
      <w:color w:val="0F4761"/>
      <w:kern w:val="2"/>
      <w:sz w:val="28"/>
      <w:szCs w:val="28"/>
    </w:rPr>
  </w:style>
  <w:style w:type="character" w:customStyle="1" w:styleId="Ttulo4Car">
    <w:name w:val="Título 4 Car"/>
    <w:link w:val="Ttulo4"/>
    <w:uiPriority w:val="9"/>
    <w:semiHidden/>
    <w:rsid w:val="00072654"/>
    <w:rPr>
      <w:rFonts w:eastAsia="Times New Roman"/>
      <w:i/>
      <w:iCs/>
      <w:color w:val="0F4761"/>
      <w:kern w:val="2"/>
      <w:sz w:val="24"/>
      <w:szCs w:val="24"/>
    </w:rPr>
  </w:style>
  <w:style w:type="character" w:customStyle="1" w:styleId="Ttulo5Car">
    <w:name w:val="Título 5 Car"/>
    <w:link w:val="Ttulo5"/>
    <w:uiPriority w:val="9"/>
    <w:semiHidden/>
    <w:rsid w:val="00072654"/>
    <w:rPr>
      <w:rFonts w:eastAsia="Times New Roman"/>
      <w:color w:val="0F4761"/>
      <w:kern w:val="2"/>
      <w:sz w:val="24"/>
      <w:szCs w:val="24"/>
    </w:rPr>
  </w:style>
  <w:style w:type="character" w:customStyle="1" w:styleId="Ttulo6Car">
    <w:name w:val="Título 6 Car"/>
    <w:link w:val="Ttulo6"/>
    <w:uiPriority w:val="9"/>
    <w:semiHidden/>
    <w:rsid w:val="00072654"/>
    <w:rPr>
      <w:rFonts w:eastAsia="Times New Roman"/>
      <w:i/>
      <w:iCs/>
      <w:color w:val="595959"/>
      <w:kern w:val="2"/>
      <w:sz w:val="24"/>
      <w:szCs w:val="24"/>
    </w:rPr>
  </w:style>
  <w:style w:type="character" w:customStyle="1" w:styleId="Ttulo7Car">
    <w:name w:val="Título 7 Car"/>
    <w:link w:val="Ttulo7"/>
    <w:uiPriority w:val="9"/>
    <w:semiHidden/>
    <w:rsid w:val="00072654"/>
    <w:rPr>
      <w:rFonts w:eastAsia="Times New Roman"/>
      <w:color w:val="595959"/>
      <w:kern w:val="2"/>
      <w:sz w:val="24"/>
      <w:szCs w:val="24"/>
    </w:rPr>
  </w:style>
  <w:style w:type="character" w:customStyle="1" w:styleId="Ttulo8Car">
    <w:name w:val="Título 8 Car"/>
    <w:link w:val="Ttulo8"/>
    <w:uiPriority w:val="9"/>
    <w:semiHidden/>
    <w:rsid w:val="00072654"/>
    <w:rPr>
      <w:rFonts w:eastAsia="Times New Roman"/>
      <w:i/>
      <w:iCs/>
      <w:color w:val="272727"/>
      <w:kern w:val="2"/>
      <w:sz w:val="24"/>
      <w:szCs w:val="24"/>
    </w:rPr>
  </w:style>
  <w:style w:type="character" w:customStyle="1" w:styleId="Ttulo9Car">
    <w:name w:val="Título 9 Car"/>
    <w:link w:val="Ttulo9"/>
    <w:uiPriority w:val="9"/>
    <w:semiHidden/>
    <w:rsid w:val="00072654"/>
    <w:rPr>
      <w:rFonts w:eastAsia="Times New Roman"/>
      <w:color w:val="272727"/>
      <w:kern w:val="2"/>
      <w:sz w:val="24"/>
      <w:szCs w:val="24"/>
    </w:rPr>
  </w:style>
  <w:style w:type="paragraph" w:styleId="Ttulo">
    <w:name w:val="Title"/>
    <w:basedOn w:val="Normal"/>
    <w:next w:val="Normal"/>
    <w:link w:val="TtuloCar"/>
    <w:uiPriority w:val="10"/>
    <w:qFormat/>
    <w:rsid w:val="00072654"/>
    <w:pPr>
      <w:spacing w:after="80"/>
      <w:contextualSpacing/>
    </w:pPr>
    <w:rPr>
      <w:rFonts w:ascii="Aptos Display" w:eastAsia="Times New Roman" w:hAnsi="Aptos Display"/>
      <w:spacing w:val="-10"/>
      <w:kern w:val="28"/>
      <w:sz w:val="56"/>
      <w:szCs w:val="56"/>
    </w:rPr>
  </w:style>
  <w:style w:type="character" w:customStyle="1" w:styleId="TtuloCar">
    <w:name w:val="Título Car"/>
    <w:link w:val="Ttulo"/>
    <w:uiPriority w:val="10"/>
    <w:rsid w:val="00072654"/>
    <w:rPr>
      <w:rFonts w:ascii="Aptos Display" w:eastAsia="Times New Roman" w:hAnsi="Aptos Display"/>
      <w:spacing w:val="-10"/>
      <w:kern w:val="28"/>
      <w:sz w:val="56"/>
      <w:szCs w:val="56"/>
    </w:rPr>
  </w:style>
  <w:style w:type="paragraph" w:styleId="Subttulo">
    <w:name w:val="Subtitle"/>
    <w:basedOn w:val="Normal"/>
    <w:next w:val="Normal"/>
    <w:link w:val="SubttuloCar"/>
    <w:uiPriority w:val="11"/>
    <w:qFormat/>
    <w:rsid w:val="00072654"/>
    <w:pPr>
      <w:numPr>
        <w:ilvl w:val="1"/>
      </w:numPr>
    </w:pPr>
    <w:rPr>
      <w:rFonts w:eastAsia="Times New Roman"/>
      <w:color w:val="595959"/>
      <w:spacing w:val="15"/>
      <w:sz w:val="28"/>
      <w:szCs w:val="28"/>
    </w:rPr>
  </w:style>
  <w:style w:type="character" w:customStyle="1" w:styleId="SubttuloCar">
    <w:name w:val="Subtítulo Car"/>
    <w:link w:val="Subttulo"/>
    <w:uiPriority w:val="11"/>
    <w:rsid w:val="00072654"/>
    <w:rPr>
      <w:rFonts w:eastAsia="Times New Roman"/>
      <w:color w:val="595959"/>
      <w:spacing w:val="15"/>
      <w:kern w:val="2"/>
      <w:sz w:val="28"/>
      <w:szCs w:val="28"/>
    </w:rPr>
  </w:style>
  <w:style w:type="paragraph" w:styleId="Prrafodelista">
    <w:name w:val="List Paragraph"/>
    <w:basedOn w:val="Normal"/>
    <w:uiPriority w:val="34"/>
    <w:qFormat/>
    <w:rsid w:val="00072654"/>
    <w:pPr>
      <w:ind w:left="720"/>
      <w:contextualSpacing/>
    </w:pPr>
  </w:style>
  <w:style w:type="paragraph" w:styleId="Cita">
    <w:name w:val="Quote"/>
    <w:basedOn w:val="Normal"/>
    <w:next w:val="Normal"/>
    <w:link w:val="CitaCar"/>
    <w:uiPriority w:val="29"/>
    <w:qFormat/>
    <w:rsid w:val="00072654"/>
    <w:pPr>
      <w:spacing w:before="160"/>
      <w:jc w:val="center"/>
    </w:pPr>
    <w:rPr>
      <w:i/>
      <w:iCs/>
      <w:color w:val="404040"/>
    </w:rPr>
  </w:style>
  <w:style w:type="character" w:customStyle="1" w:styleId="CitaCar">
    <w:name w:val="Cita Car"/>
    <w:link w:val="Cita"/>
    <w:uiPriority w:val="29"/>
    <w:rsid w:val="00072654"/>
    <w:rPr>
      <w:i/>
      <w:iCs/>
      <w:color w:val="404040"/>
      <w:kern w:val="2"/>
      <w:sz w:val="24"/>
      <w:szCs w:val="24"/>
    </w:rPr>
  </w:style>
  <w:style w:type="paragraph" w:styleId="Citadestacada">
    <w:name w:val="Intense Quote"/>
    <w:basedOn w:val="Normal"/>
    <w:next w:val="Normal"/>
    <w:link w:val="CitadestacadaCar"/>
    <w:uiPriority w:val="30"/>
    <w:qFormat/>
    <w:rsid w:val="00072654"/>
    <w:pPr>
      <w:pBdr>
        <w:top w:val="single" w:sz="4" w:space="10" w:color="0F4761"/>
        <w:bottom w:val="single" w:sz="4" w:space="10" w:color="0F4761"/>
      </w:pBdr>
      <w:spacing w:before="360" w:after="360"/>
      <w:ind w:left="864" w:right="864"/>
      <w:jc w:val="center"/>
    </w:pPr>
    <w:rPr>
      <w:i/>
      <w:iCs/>
      <w:color w:val="0F4761"/>
    </w:rPr>
  </w:style>
  <w:style w:type="character" w:customStyle="1" w:styleId="CitadestacadaCar">
    <w:name w:val="Cita destacada Car"/>
    <w:link w:val="Citadestacada"/>
    <w:uiPriority w:val="30"/>
    <w:rsid w:val="00072654"/>
    <w:rPr>
      <w:i/>
      <w:iCs/>
      <w:color w:val="0F4761"/>
      <w:kern w:val="2"/>
      <w:sz w:val="24"/>
      <w:szCs w:val="24"/>
    </w:rPr>
  </w:style>
  <w:style w:type="character" w:styleId="nfasisintenso">
    <w:name w:val="Intense Emphasis"/>
    <w:uiPriority w:val="21"/>
    <w:qFormat/>
    <w:rsid w:val="00072654"/>
    <w:rPr>
      <w:i/>
      <w:iCs/>
      <w:color w:val="0F4761"/>
    </w:rPr>
  </w:style>
  <w:style w:type="character" w:styleId="Referenciaintensa">
    <w:name w:val="Intense Reference"/>
    <w:uiPriority w:val="32"/>
    <w:qFormat/>
    <w:rsid w:val="00072654"/>
    <w:rPr>
      <w:b/>
      <w:bCs/>
      <w:smallCaps/>
      <w:color w:val="0F4761"/>
      <w:spacing w:val="5"/>
    </w:rPr>
  </w:style>
  <w:style w:type="character" w:styleId="Fuerte">
    <w:name w:val="Strong"/>
    <w:basedOn w:val="Fuentedeprrafopredeter"/>
    <w:uiPriority w:val="22"/>
    <w:qFormat/>
    <w:rsid w:val="00646416"/>
    <w:rPr>
      <w:b/>
      <w:bCs/>
    </w:rPr>
  </w:style>
  <w:style w:type="character" w:styleId="Hipervnculo">
    <w:name w:val="Hyperlink"/>
    <w:basedOn w:val="Fuentedeprrafopredeter"/>
    <w:uiPriority w:val="99"/>
    <w:unhideWhenUsed/>
    <w:rsid w:val="00646416"/>
    <w:rPr>
      <w:color w:val="467886" w:themeColor="hyperlink"/>
      <w:u w:val="single"/>
    </w:rPr>
  </w:style>
  <w:style w:type="character" w:styleId="Mencinsinresolver">
    <w:name w:val="Unresolved Mention"/>
    <w:basedOn w:val="Fuentedeprrafopredeter"/>
    <w:uiPriority w:val="99"/>
    <w:semiHidden/>
    <w:unhideWhenUsed/>
    <w:rsid w:val="00646416"/>
    <w:rPr>
      <w:color w:val="605E5C"/>
      <w:shd w:val="clear" w:color="auto" w:fill="E1DFDD"/>
    </w:rPr>
  </w:style>
  <w:style w:type="character" w:styleId="Hipervnculovisitado">
    <w:name w:val="FollowedHyperlink"/>
    <w:basedOn w:val="Fuentedeprrafopredeter"/>
    <w:uiPriority w:val="99"/>
    <w:semiHidden/>
    <w:unhideWhenUsed/>
    <w:rsid w:val="00646416"/>
    <w:rPr>
      <w:color w:val="96607D" w:themeColor="followedHyperlink"/>
      <w:u w:val="single"/>
    </w:rPr>
  </w:style>
  <w:style w:type="paragraph" w:styleId="Encabezado">
    <w:name w:val="header"/>
    <w:basedOn w:val="Normal"/>
    <w:link w:val="EncabezadoCar"/>
    <w:uiPriority w:val="99"/>
    <w:unhideWhenUsed/>
    <w:rsid w:val="00237BEF"/>
    <w:pPr>
      <w:tabs>
        <w:tab w:val="center" w:pos="4252"/>
        <w:tab w:val="right" w:pos="8504"/>
      </w:tabs>
    </w:pPr>
  </w:style>
  <w:style w:type="character" w:customStyle="1" w:styleId="EncabezadoCar">
    <w:name w:val="Encabezado Car"/>
    <w:basedOn w:val="Fuentedeprrafopredeter"/>
    <w:link w:val="Encabezado"/>
    <w:uiPriority w:val="99"/>
    <w:rsid w:val="00237BEF"/>
  </w:style>
  <w:style w:type="paragraph" w:styleId="Piedepgina">
    <w:name w:val="footer"/>
    <w:basedOn w:val="Normal"/>
    <w:link w:val="PiedepginaCar"/>
    <w:uiPriority w:val="99"/>
    <w:unhideWhenUsed/>
    <w:rsid w:val="00237BEF"/>
    <w:pPr>
      <w:tabs>
        <w:tab w:val="center" w:pos="4252"/>
        <w:tab w:val="right" w:pos="8504"/>
      </w:tabs>
    </w:pPr>
  </w:style>
  <w:style w:type="character" w:customStyle="1" w:styleId="PiedepginaCar">
    <w:name w:val="Pie de página Car"/>
    <w:basedOn w:val="Fuentedeprrafopredeter"/>
    <w:link w:val="Piedepgina"/>
    <w:uiPriority w:val="99"/>
    <w:rsid w:val="00237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3050</Words>
  <Characters>16776</Characters>
  <Application>Microsoft Office Word</Application>
  <DocSecurity>4</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Romero</dc:creator>
  <cp:keywords/>
  <dc:description/>
  <cp:lastModifiedBy>Diana Bernácer</cp:lastModifiedBy>
  <cp:revision>2</cp:revision>
  <dcterms:created xsi:type="dcterms:W3CDTF">2026-10-23T15:14:00Z</dcterms:created>
  <dcterms:modified xsi:type="dcterms:W3CDTF">2026-10-23T15:14:00Z</dcterms:modified>
</cp:coreProperties>
</file>